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26-94</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103</w:t>
      </w:r>
    </w:p>
    <w:p>
      <w:pPr>
        <w:spacing w:before="0" w:after="0" w:line="480"/>
        <w:ind w:left="120"/>
        <w:jc w:val="center"/>
      </w:pPr>
      <w:r>
        <w:rPr>
          <w:rFonts w:ascii="Times New Roman" w:hAnsi="Times New Roman"/>
          <w:b w:val="false"/>
          <w:i w:val="false"/>
          <w:color w:val="000000"/>
          <w:sz w:val="24"/>
        </w:rPr>
        <w:t>“State Training School”</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218.4</w:t>
      </w:r>
    </w:p>
    <w:p>
      <w:pPr>
        <w:spacing w:before="0" w:after="0" w:line="480"/>
        <w:ind w:left="120"/>
        <w:jc w:val="both"/>
      </w:pPr>
      <w:r>
        <w:rPr>
          <w:rFonts w:ascii="Times New Roman" w:hAnsi="Times New Roman"/>
          <w:b w:val="false"/>
          <w:i w:val="false"/>
          <w:color w:val="000000"/>
          <w:sz w:val="24"/>
        </w:rPr>
        <w:t>State or federal law(s) implemented by the rulemaking: Iowa Code chapter 218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275 593 971 020 806</w:t>
            </w:r>
            <w:r>
              <w:br/>
            </w:r>
            <w:r>
              <w:rPr>
                <w:rFonts w:ascii="Times New Roman" w:hAnsi="Times New Roman"/>
                <w:b w:val="false"/>
                <w:i w:val="false"/>
                <w:color w:val="000000"/>
                <w:sz w:val="14"/>
              </w:rPr>
              <w:t>Passcode: Dp6oW2fe</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sets a framework for the State Training School (STS), which provides a continuum of supervision and rehabilitation programs that meet the needs of males adjudicated delinquent in a manner consistent with public safety. These services and programs individualize treatment and control the offender for his own benefit and the protection of society.</w:t>
      </w:r>
    </w:p>
    <w:p>
      <w:pPr>
        <w:spacing w:before="0" w:after="0" w:line="480"/>
        <w:ind w:left="120"/>
        <w:jc w:val="both"/>
      </w:pPr>
      <w:r>
        <w:rPr>
          <w:rFonts w:ascii="Times New Roman" w:hAnsi="Times New Roman"/>
          <w:b w:val="false"/>
          <w:i w:val="false"/>
          <w:color w:val="000000"/>
          <w:sz w:val="24"/>
        </w:rPr>
        <w:t>    This proposed chapter was reviewed pursuant to Executive Order 10. As a result of the review, the Department reduced the number of restrictive terms, as appropriate; referred some items back to the facility manual of policies and procedures; updated terminology; and standardized the use of definitions.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as well as the students who reside at STS, will benefit from the protections and guidelines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As of March 2026, STS served an average of 52 students.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STS assists juvenile offenders in developing skills necessary to function effectively and positively in the community in a manner consistent with public safety by providing a humane, secure setting; providing programs within the framework of professional juvenile justice standards and best practices while using available resources effectively; holding juveniles accountable for their delinquent behavior; and developing efficient and effective juvenile delinquent treatment and rehabilitation.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 State fiscal year (SFY) 2026 operating budget for STS is $19,879,528.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SFY 2026 appropriation for STS is also $19,879,528.</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218.4.</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is required by Iowa Code section 218.4.</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pBdr>
          <w:bottom w:space="3"/>
        </w:pBdr>
        <w:spacing w:before="0" w:after="0" w:line="480"/>
        <w:ind w:left="120"/>
        <w:jc w:val="center"/>
      </w:pPr>
      <w:r>
        <w:rPr>
          <w:rFonts w:ascii="Times New Roman" w:hAnsi="Times New Roman"/>
          <w:b w:val="false"/>
          <w:i/>
          <w:color w:val="000000"/>
          <w:sz w:val="24"/>
        </w:rPr>
        <w:t>CHILDREN’S INSTITUTIONS</w:t>
      </w:r>
    </w:p>
    <w:p>
      <w:pPr>
        <w:spacing w:before="0" w:after="0" w:line="480"/>
        <w:ind w:left="120"/>
        <w:jc w:val="center"/>
      </w:pPr>
      <w:r>
        <w:rPr>
          <w:rFonts w:ascii="Times New Roman" w:hAnsi="Times New Roman"/>
          <w:b w:val="false"/>
          <w:i w:val="false"/>
          <w:color w:val="000000"/>
          <w:sz w:val="16"/>
        </w:rPr>
        <w:t>TITLE XI</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103</w:t>
      </w:r>
    </w:p>
    <w:p>
      <w:pPr>
        <w:spacing w:before="0" w:after="0" w:line="480"/>
        <w:ind w:left="120"/>
        <w:jc w:val="center"/>
      </w:pPr>
      <w:r>
        <w:rPr>
          <w:rFonts w:ascii="Times New Roman" w:hAnsi="Times New Roman"/>
          <w:b w:val="false"/>
          <w:i w:val="false"/>
          <w:color w:val="000000"/>
          <w:sz w:val="21"/>
        </w:rPr>
        <w:t>STATE TRAINING SCHOOL</w:t>
      </w:r>
    </w:p>
    <w:p>
      <w:pPr>
        <w:spacing w:before="0" w:after="0" w:line="480"/>
        <w:ind w:left="120"/>
        <w:jc w:val="both"/>
      </w:pPr>
      <w:r>
        <w:rPr>
          <w:rFonts w:ascii="Times New Roman" w:hAnsi="Times New Roman"/>
          <w:b/>
          <w:i w:val="false"/>
          <w:color w:val="000000"/>
          <w:sz w:val="24"/>
        </w:rPr>
        <w:t>441—103.1</w:t>
      </w:r>
      <w:r>
        <w:rPr>
          <w:rFonts w:ascii="Times New Roman" w:hAnsi="Times New Roman"/>
          <w:b/>
          <w:i w:val="false"/>
          <w:color w:val="000000"/>
          <w:sz w:val="24"/>
        </w:rPr>
        <w:t xml:space="preserve">(218)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means a person under the age of 18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weapons; ammunition; tobacco; alcohol; drugs; money; altered authorized property; mood-altering plant material; obscene material as defined in Iowa Code section </w:t>
      </w:r>
      <w:hyperlink r:id="rId5">
        <w:r>
          <w:rPr>
            <w:rStyle w:val="Hyperlink"/>
            <w:rFonts w:ascii="Times New Roman" w:hAnsi="Times New Roman"/>
            <w:b w:val="false"/>
            <w:i w:val="false"/>
            <w:color w:val="000000"/>
            <w:sz w:val="24"/>
          </w:rPr>
          <w:t>728.1(5)</w:t>
        </w:r>
      </w:hyperlink>
      <w:r>
        <w:rPr>
          <w:rFonts w:ascii="Times New Roman" w:hAnsi="Times New Roman"/>
          <w:b w:val="false"/>
          <w:i w:val="false"/>
          <w:color w:val="000000"/>
          <w:sz w:val="24"/>
        </w:rPr>
        <w:t>; explosives; material that can be used in the manufacture of explosives; or material advocating disruption of or injury to students,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 director”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administrator of the division of state-operated specialty care within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color w:val="000000"/>
          <w:sz w:val="24"/>
          <w:u w:val="single"/>
        </w:rPr>
        <w:t> </w:t>
      </w:r>
      <w:r>
        <w:rPr>
          <w:rFonts w:ascii="Times New Roman" w:hAnsi="Times New Roman"/>
          <w:b w:val="false"/>
          <w:i w:val="false"/>
          <w:color w:val="000000"/>
          <w:sz w:val="24"/>
        </w:rPr>
        <w:t>means the state training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color w:val="000000"/>
          <w:sz w:val="24"/>
          <w:u w:val="single"/>
        </w:rPr>
        <w:t> </w:t>
      </w:r>
      <w:r>
        <w:rPr>
          <w:rFonts w:ascii="Times New Roman" w:hAnsi="Times New Roman"/>
          <w:b w:val="false"/>
          <w:i w:val="false"/>
          <w:color w:val="000000"/>
          <w:sz w:val="24"/>
        </w:rPr>
        <w:t>means spouse, child, parent, sibling, or grandparent.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“Gift or bequest”</w:t>
      </w:r>
      <w:r>
        <w:rPr>
          <w:rFonts w:ascii="Times New Roman" w:hAnsi="Times New Roman"/>
          <w:b w:val="false"/>
          <w:i/>
          <w:color w:val="000000"/>
          <w:sz w:val="24"/>
          <w:u w:val="single"/>
        </w:rPr>
        <w:t> </w:t>
      </w:r>
      <w:r>
        <w:rPr>
          <w:rFonts w:ascii="Times New Roman" w:hAnsi="Times New Roman"/>
          <w:b w:val="false"/>
          <w:i w:val="false"/>
          <w:color w:val="000000"/>
          <w:sz w:val="24"/>
        </w:rPr>
        <w:t>means anything of value that a facility receives that is intended for use directly by the employees of the facility. Items intended for public distribution, such as clothes or furniture, do not constitute a gift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w:t>
      </w:r>
      <w:r>
        <w:rPr>
          <w:rFonts w:ascii="Times New Roman" w:hAnsi="Times New Roman"/>
          <w:b w:val="false"/>
          <w:i/>
          <w:color w:val="000000"/>
          <w:sz w:val="24"/>
          <w:u w:val="single"/>
        </w:rPr>
        <w:t> </w:t>
      </w:r>
      <w:r>
        <w:rPr>
          <w:rFonts w:ascii="Times New Roman" w:hAnsi="Times New Roman"/>
          <w:b w:val="false"/>
          <w:i w:val="false"/>
          <w:color w:val="000000"/>
          <w:sz w:val="24"/>
        </w:rPr>
        <w:t>means a written or oral complaint by or on behalf of a student that involves: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rights violation or unfairness to the student,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aspect of the student’s life with which the student does not agree.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sex offender registry”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central registry of sex offenders established under Iowa Code chapter </w:t>
      </w:r>
      <w:hyperlink r:id="rId6">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that is maintained by the department of public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court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offender”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juvenile who is required to be registered with the Iowa sex offender registry and with the sheriff of the juvenile’s county of residence.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“Legal representative”</w:t>
      </w:r>
      <w:r>
        <w:rPr>
          <w:rFonts w:ascii="Times New Roman" w:hAnsi="Times New Roman"/>
          <w:b w:val="false"/>
          <w:i/>
          <w:color w:val="000000"/>
          <w:sz w:val="24"/>
          <w:u w:val="single"/>
        </w:rPr>
        <w:t> </w:t>
      </w:r>
      <w:r>
        <w:rPr>
          <w:rFonts w:ascii="Times New Roman" w:hAnsi="Times New Roman"/>
          <w:b w:val="false"/>
          <w:i w:val="false"/>
          <w:color w:val="000000"/>
          <w:sz w:val="24"/>
        </w:rPr>
        <w:t>means a person, including an attorney, who is authorized by law to act on behalf of a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“Money”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all forms of currency, checks, money orders, stocks, bonds, and any other item that can be used as a medium of exchange for payment for goods 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color w:val="000000"/>
          <w:sz w:val="24"/>
          <w:u w:val="single"/>
        </w:rPr>
        <w:t> </w:t>
      </w:r>
      <w:r>
        <w:rPr>
          <w:rFonts w:ascii="Times New Roman" w:hAnsi="Times New Roman"/>
          <w:b w:val="false"/>
          <w:i w:val="false"/>
          <w:color w:val="000000"/>
          <w:sz w:val="24"/>
        </w:rPr>
        <w:t>means a natural or adoptive mother or father of a child but does not include a mother or father whose parental rights have been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submission of registration forms to the Iowa sex offender registry and to the sheriff of the person’s county of residence.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“Rights”</w:t>
      </w:r>
      <w:r>
        <w:rPr>
          <w:rFonts w:ascii="Times New Roman" w:hAnsi="Times New Roman"/>
          <w:b w:val="false"/>
          <w:i/>
          <w:color w:val="000000"/>
          <w:sz w:val="24"/>
          <w:u w:val="single"/>
        </w:rPr>
        <w:t> </w:t>
      </w:r>
      <w:r>
        <w:rPr>
          <w:rFonts w:ascii="Times New Roman" w:hAnsi="Times New Roman"/>
          <w:b w:val="false"/>
          <w:i w:val="false"/>
          <w:color w:val="000000"/>
          <w:sz w:val="24"/>
        </w:rPr>
        <w:t>means the human, civil, and constitutional liberties an individual possesses through federal and state constitutions and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training school”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233A.1(3)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as used in this chapter, means any child who is committed to the director and is admitted to and receives services from the state training school. The terms “resident,” “juvenile,” and “youth” are synonymous with the term “student.” For purposes of the state training school, the term also includes a person whose stay is extended beyond the age of 18 under the provisions of Iowa Code section </w:t>
      </w:r>
      <w:hyperlink r:id="rId9">
        <w:r>
          <w:rPr>
            <w:rStyle w:val="Hyperlink"/>
            <w:rFonts w:ascii="Times New Roman" w:hAnsi="Times New Roman"/>
            <w:b w:val="false"/>
            <w:i w:val="false"/>
            <w:color w:val="000000"/>
            <w:sz w:val="24"/>
          </w:rPr>
          <w:t>232.53(2)</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232.53(4)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“Superintendent”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233A.1(3)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“Tobacco”</w:t>
      </w:r>
      <w:r>
        <w:rPr>
          <w:rFonts w:ascii="Times New Roman" w:hAnsi="Times New Roman"/>
          <w:b w:val="false"/>
          <w:i/>
          <w:color w:val="000000"/>
          <w:sz w:val="24"/>
          <w:u w:val="single"/>
        </w:rPr>
        <w:t> </w:t>
      </w:r>
      <w:r>
        <w:rPr>
          <w:rFonts w:ascii="Times New Roman" w:hAnsi="Times New Roman"/>
          <w:b w:val="false"/>
          <w:i w:val="false"/>
          <w:color w:val="000000"/>
          <w:sz w:val="24"/>
        </w:rPr>
        <w:t>means all forms of tobacco.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“Weapon”</w:t>
      </w:r>
      <w:r>
        <w:rPr>
          <w:rFonts w:ascii="Times New Roman" w:hAnsi="Times New Roman"/>
          <w:b w:val="false"/>
          <w:i/>
          <w:color w:val="000000"/>
          <w:sz w:val="24"/>
          <w:u w:val="single"/>
        </w:rPr>
        <w:t> </w:t>
      </w:r>
      <w:r>
        <w:rPr>
          <w:rFonts w:ascii="Times New Roman" w:hAnsi="Times New Roman"/>
          <w:b w:val="false"/>
          <w:i w:val="false"/>
          <w:color w:val="000000"/>
          <w:sz w:val="24"/>
        </w:rPr>
        <w:t>means any gun, knife, tool, object, or chemical that can be used to inflict harm on oneself or another.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441—103.2</w:t>
      </w:r>
      <w:r>
        <w:rPr>
          <w:rFonts w:ascii="Times New Roman" w:hAnsi="Times New Roman"/>
          <w:b/>
          <w:i w:val="false"/>
          <w:color w:val="000000"/>
          <w:sz w:val="24"/>
        </w:rPr>
        <w:t xml:space="preserve">(218) </w:t>
      </w:r>
      <w:r>
        <w:rPr>
          <w:rFonts w:ascii="Times New Roman" w:hAnsi="Times New Roman"/>
          <w:b/>
          <w:i w:val="false"/>
          <w:color w:val="000000"/>
          <w:sz w:val="24"/>
        </w:rPr>
        <w:t xml:space="preserve">Admission.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w:t>
      </w:r>
      <w:r>
        <w:rPr>
          <w:rFonts w:ascii="Times New Roman" w:hAnsi="Times New Roman"/>
          <w:b w:val="false"/>
          <w:i w:val="false"/>
          <w:color w:val="000000"/>
          <w:sz w:val="24"/>
        </w:rPr>
        <w:t> </w:t>
      </w:r>
      <w:r>
        <w:rPr>
          <w:rFonts w:ascii="Times New Roman" w:hAnsi="Times New Roman"/>
          <w:b w:val="false"/>
          <w:i/>
          <w:color w:val="000000"/>
          <w:sz w:val="24"/>
        </w:rPr>
        <w:t xml:space="preserve">Population guidelines. </w:t>
      </w:r>
      <w:r>
        <w:rPr>
          <w:rFonts w:ascii="Times New Roman" w:hAnsi="Times New Roman"/>
          <w:b w:val="false"/>
          <w:i w:val="false"/>
          <w:color w:val="000000"/>
          <w:sz w:val="24"/>
        </w:rPr>
        <w:t>The facility population level will be based on the population guidelines that the judicial branch, in consultation with the department, develops on the number of students who may be placed at a juvenile facility at any one time. Pursuant to those guidelines and the responsibility of the superintendent for admission of students, the superintendent and the chief juvenile court officers will allocate to each judicial district the number of children from each district who may be placed in the facility for diagnosis and evaluation and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103.2(2)</w:t>
      </w:r>
      <w:r>
        <w:rPr>
          <w:rFonts w:ascii="Times New Roman" w:hAnsi="Times New Roman"/>
          <w:b w:val="false"/>
          <w:i w:val="false"/>
          <w:color w:val="000000"/>
          <w:sz w:val="24"/>
        </w:rPr>
        <w:t> </w:t>
      </w:r>
      <w:r>
        <w:rPr>
          <w:rFonts w:ascii="Times New Roman" w:hAnsi="Times New Roman"/>
          <w:b w:val="false"/>
          <w:i/>
          <w:color w:val="000000"/>
          <w:sz w:val="24"/>
        </w:rPr>
        <w:t xml:space="preserve">Acceptance of child. </w:t>
      </w:r>
      <w:r>
        <w:rPr>
          <w:rFonts w:ascii="Times New Roman" w:hAnsi="Times New Roman"/>
          <w:b w:val="false"/>
          <w:i w:val="false"/>
          <w:color w:val="000000"/>
          <w:sz w:val="24"/>
        </w:rPr>
        <w:t xml:space="preserve">A certified copy of the court order that complies with Iowa Code chapter </w:t>
      </w:r>
      <w:hyperlink r:id="rId13">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shall accompany the child to the facility, along with the relevant petitions.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will be accepted for evaluation as specified in the court order only when a diagnostic bed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child will be accepted into the regular program as specified in the court order only when a treatment bed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child adjudicated as a child in need of assistance shall not be admitted to the state training school,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diagnosis and evaluation and then only when a current petition is on file that alleges the child to have committed a delinquent act,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the child is also adjudicated delinquent and meets admission criteria for the state training school as a delinquent.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superintendent or chief juvenile court officer shall notify the court when the appropriate space, service, or program is not available so that admission can be ordered when the facility can meet the child’s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103.2(3)</w:t>
      </w:r>
      <w:r>
        <w:rPr>
          <w:rFonts w:ascii="Times New Roman" w:hAnsi="Times New Roman"/>
          <w:b w:val="false"/>
          <w:i w:val="false"/>
          <w:color w:val="000000"/>
          <w:sz w:val="24"/>
        </w:rPr>
        <w:t> </w:t>
      </w:r>
      <w:r>
        <w:rPr>
          <w:rFonts w:ascii="Times New Roman" w:hAnsi="Times New Roman"/>
          <w:b w:val="false"/>
          <w:i/>
          <w:color w:val="000000"/>
          <w:sz w:val="24"/>
        </w:rPr>
        <w:t xml:space="preserve">Time of admission. </w:t>
      </w:r>
      <w:r>
        <w:rPr>
          <w:rFonts w:ascii="Times New Roman" w:hAnsi="Times New Roman"/>
          <w:b w:val="false"/>
          <w:i w:val="false"/>
          <w:color w:val="000000"/>
          <w:sz w:val="24"/>
        </w:rPr>
        <w:t>When a child is to be admitted to the facility, arrangements will be agreed to by the facility for the date and time of the actual admission.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441—103.3</w:t>
      </w:r>
      <w:r>
        <w:rPr>
          <w:rFonts w:ascii="Times New Roman" w:hAnsi="Times New Roman"/>
          <w:b/>
          <w:i w:val="false"/>
          <w:color w:val="000000"/>
          <w:sz w:val="24"/>
        </w:rPr>
        <w:t xml:space="preserve">(218) </w:t>
      </w:r>
      <w:r>
        <w:rPr>
          <w:rFonts w:ascii="Times New Roman" w:hAnsi="Times New Roman"/>
          <w:b/>
          <w:i w:val="false"/>
          <w:color w:val="000000"/>
          <w:sz w:val="24"/>
        </w:rPr>
        <w:t xml:space="preserve">Plan of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103.3(1)</w:t>
      </w:r>
      <w:r>
        <w:rPr>
          <w:rFonts w:ascii="Times New Roman" w:hAnsi="Times New Roman"/>
          <w:b w:val="false"/>
          <w:i w:val="false"/>
          <w:color w:val="000000"/>
          <w:sz w:val="24"/>
        </w:rPr>
        <w:t> </w:t>
      </w:r>
      <w:r>
        <w:rPr>
          <w:rFonts w:ascii="Times New Roman" w:hAnsi="Times New Roman"/>
          <w:b w:val="false"/>
          <w:i/>
          <w:color w:val="000000"/>
          <w:sz w:val="24"/>
        </w:rPr>
        <w:t xml:space="preserve">Individual care plan conference. </w:t>
      </w:r>
      <w:r>
        <w:rPr>
          <w:rFonts w:ascii="Times New Roman" w:hAnsi="Times New Roman"/>
          <w:b w:val="false"/>
          <w:i w:val="false"/>
          <w:color w:val="000000"/>
          <w:sz w:val="24"/>
        </w:rPr>
        <w:t>The facility will schedule an individual care plan conference and provide prior notice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student’s parents or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student’s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student’s juvenile court officer;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103.3(2)</w:t>
      </w:r>
      <w:r>
        <w:rPr>
          <w:rFonts w:ascii="Times New Roman" w:hAnsi="Times New Roman"/>
          <w:b w:val="false"/>
          <w:i w:val="false"/>
          <w:color w:val="000000"/>
          <w:sz w:val="24"/>
        </w:rPr>
        <w:t> </w:t>
      </w:r>
      <w:r>
        <w:rPr>
          <w:rFonts w:ascii="Times New Roman" w:hAnsi="Times New Roman"/>
          <w:b w:val="false"/>
          <w:i/>
          <w:color w:val="000000"/>
          <w:sz w:val="24"/>
        </w:rPr>
        <w:t xml:space="preserve">Prerelease conference. </w:t>
      </w:r>
      <w:r>
        <w:rPr>
          <w:rFonts w:ascii="Times New Roman" w:hAnsi="Times New Roman"/>
          <w:b w:val="false"/>
          <w:i w:val="false"/>
          <w:color w:val="000000"/>
          <w:sz w:val="24"/>
        </w:rPr>
        <w:t>A prerelease conference will be held 30 days before any anticipated release of a student from the regular program. The facility will provide written notice of the time, date, and purpose of the conference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student;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student’s parents or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student’s legal representative;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student’s juvenile court officer;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court.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441—103.4</w:t>
      </w:r>
      <w:r>
        <w:rPr>
          <w:rFonts w:ascii="Times New Roman" w:hAnsi="Times New Roman"/>
          <w:b/>
          <w:i w:val="false"/>
          <w:color w:val="000000"/>
          <w:sz w:val="24"/>
        </w:rPr>
        <w:t xml:space="preserve">(218) </w:t>
      </w:r>
      <w:r>
        <w:rPr>
          <w:rFonts w:ascii="Times New Roman" w:hAnsi="Times New Roman"/>
          <w:b/>
          <w:i w:val="false"/>
          <w:color w:val="000000"/>
          <w:sz w:val="24"/>
        </w:rPr>
        <w:t xml:space="preserve">Communication with students.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103.4(1)</w:t>
      </w:r>
      <w:r>
        <w:rPr>
          <w:rFonts w:ascii="Times New Roman" w:hAnsi="Times New Roman"/>
          <w:b w:val="false"/>
          <w:i w:val="false"/>
          <w:color w:val="000000"/>
          <w:sz w:val="24"/>
        </w:rPr>
        <w:t> </w:t>
      </w:r>
      <w:r>
        <w:rPr>
          <w:rFonts w:ascii="Times New Roman" w:hAnsi="Times New Roman"/>
          <w:b w:val="false"/>
          <w:i/>
          <w:color w:val="000000"/>
          <w:sz w:val="24"/>
        </w:rPr>
        <w:t xml:space="preserve">Incoming telephone calls. </w:t>
      </w:r>
      <w:r>
        <w:rPr>
          <w:rFonts w:ascii="Times New Roman" w:hAnsi="Times New Roman"/>
          <w:b w:val="false"/>
          <w:i w:val="false"/>
          <w:color w:val="000000"/>
          <w:sz w:val="24"/>
        </w:rPr>
        <w:t>The superintendent or superintendent’s designee must approve all incoming telephone calls for a student before the conversation occurs. An authorized employee will verify the identity of the caller before approval is given. Approved telephone calls will not be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103.4(2)</w:t>
      </w:r>
      <w:r>
        <w:rPr>
          <w:rFonts w:ascii="Times New Roman" w:hAnsi="Times New Roman"/>
          <w:b w:val="false"/>
          <w:i w:val="false"/>
          <w:color w:val="000000"/>
          <w:sz w:val="24"/>
        </w:rPr>
        <w:t> </w:t>
      </w:r>
      <w:r>
        <w:rPr>
          <w:rFonts w:ascii="Times New Roman" w:hAnsi="Times New Roman"/>
          <w:b w:val="false"/>
          <w:i/>
          <w:color w:val="000000"/>
          <w:sz w:val="24"/>
        </w:rPr>
        <w:t xml:space="preserve">Mail and packages.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policies and procedures for outgoing or incoming letters and packages, including the facility’s ability to search for and seize contraband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Opening, but not reading, incoming and outgoing letters and packages in the presence of the student to whom the letters and packages belong;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Requiring that the student open the letters and packages in an employee’s presence and disclose the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Letters or packages found to contain contraband will be confiscated. Both the sender and the intended receiver of the confiscated letters and packages will be notified and given reasons for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may terminate correspondence between a student and another person when the student’s treatment team has determined that the correspondence is not in the student’s best interest and is detrimental to the student’s treatment plan. Termination will be based on the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will provide justification to terminate the correspondence in a written notice to the correspondents.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Correspondents may file a grievance concerning the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103.4(3)</w:t>
      </w:r>
      <w:r>
        <w:rPr>
          <w:rFonts w:ascii="Times New Roman" w:hAnsi="Times New Roman"/>
          <w:b w:val="false"/>
          <w:i w:val="false"/>
          <w:color w:val="000000"/>
          <w:sz w:val="24"/>
        </w:rPr>
        <w:t> </w:t>
      </w:r>
      <w:r>
        <w:rPr>
          <w:rFonts w:ascii="Times New Roman" w:hAnsi="Times New Roman"/>
          <w:b w:val="false"/>
          <w:i/>
          <w:color w:val="000000"/>
          <w:sz w:val="24"/>
        </w:rPr>
        <w:t xml:space="preserve">Visits. </w:t>
      </w:r>
      <w:r>
        <w:rPr>
          <w:rFonts w:ascii="Times New Roman" w:hAnsi="Times New Roman"/>
          <w:b w:val="false"/>
          <w:i w:val="false"/>
          <w:color w:val="000000"/>
          <w:sz w:val="24"/>
        </w:rPr>
        <w:t>The facility will maintain policies and procedures to allow for reasonable visitation. Visits by a student’s family or legal representative will be encouraged. Flexibility in the hours and days of visitation will be considered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Other than a family member or legal representative, a person who wants to visit a student shall obtain prior approval from the student’s juvenile court officer and the superintendent or superintendent’s designee before visiting. Visitation rights will be denied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former facility resident unless the former resident is a family member or has prior approval of the superintendent or superintendent’s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parent whose parental rights have been terminated or limited by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person who is restricted by court order from contact with the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visitor who refuses to cooperate with the rules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visitor who creates a disturbance or is hostile to the point of being disruptive;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visitor who passes or attempts to pass contraband to a student or who aids in an escape or attempted escape;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visitor who is under the influence of or has been partaking of drugs or alcoholic beverages;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Any other person who, based on reasonable cause, is believed to pose a risk to the student’s treatment or to the safety or security of the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student shall not be permitted to visit with the family of another student unless the student’s juvenile court officer and the superintendent or superintendent’s designee have given prior approval. A student shall have written authorization of the student’s juvenile court officer and the superintendent or superintendent’s designee before accompanying the parents of another student off grounds on a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superintendent reserves the right to limit or terminate visiting in all cases when doing so is in the best interests of the student’s personal and therapeutic needs. When limitation or termination of visiting rights occurs, the superintendent or superintendent’s designee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Immediately notify persons involved why the action was taken;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 the action in the student’s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103.4(4)</w:t>
      </w:r>
      <w:r>
        <w:rPr>
          <w:rFonts w:ascii="Times New Roman" w:hAnsi="Times New Roman"/>
          <w:b w:val="false"/>
          <w:i w:val="false"/>
          <w:color w:val="000000"/>
          <w:sz w:val="24"/>
        </w:rPr>
        <w:t> </w:t>
      </w:r>
      <w:r>
        <w:rPr>
          <w:rFonts w:ascii="Times New Roman" w:hAnsi="Times New Roman"/>
          <w:b w:val="false"/>
          <w:i/>
          <w:color w:val="000000"/>
          <w:sz w:val="24"/>
        </w:rPr>
        <w:t xml:space="preserve">Attorney contacts. </w:t>
      </w:r>
      <w:r>
        <w:rPr>
          <w:rFonts w:ascii="Times New Roman" w:hAnsi="Times New Roman"/>
          <w:b w:val="false"/>
          <w:i w:val="false"/>
          <w:color w:val="000000"/>
          <w:sz w:val="24"/>
        </w:rPr>
        <w:t>A student’s attorney shall have the right to visit or have telephone contact with the student at any reasonable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student shall have the right to contact the student’s attorney during normal business hours and at other times with prior approval of the attorney. Responsibility for payment for the cost of the contact shall be determined before the contact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student who does not have an attorney will be referred to the committing court for an attorney to be appointed.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103.4(5)</w:t>
      </w:r>
      <w:r>
        <w:rPr>
          <w:rFonts w:ascii="Times New Roman" w:hAnsi="Times New Roman"/>
          <w:b w:val="false"/>
          <w:i w:val="false"/>
          <w:color w:val="000000"/>
          <w:sz w:val="24"/>
        </w:rPr>
        <w:t> </w:t>
      </w:r>
      <w:r>
        <w:rPr>
          <w:rFonts w:ascii="Times New Roman" w:hAnsi="Times New Roman"/>
          <w:b w:val="false"/>
          <w:i/>
          <w:color w:val="000000"/>
          <w:sz w:val="24"/>
        </w:rPr>
        <w:t xml:space="preserve">Interviews and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 xml:space="preserve">Requests to interview a student made by media (newspapers, television stations, radio stations, etc.), groups, or persons not related to the student shall be made through the superintendent’s office.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or superintendent’s designee will inform the student of the request and of the student’s right to agree to participate in the interview or to remain silent and not participate.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interview may have an impact on the student’s legal status, the superintendent or superintendent’s designee will contact the student’s attorney to determine if the attorney has any objection to the student’s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When a student agrees to participate, the interview will be granted at the discretion of the superintendent. The superintendent may deny an interview in situations deemed detrimental to the student. The person requesting the interview may appeal the superintendent’s decision to the division director or division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Whenever an interview is granted, at least one facility employee will be present for the entirety of the interview and will have the authority to terminate the interview anytime the employee believes the best interests of the student are not being served. Exceptions to this requirement will be made when the student’s interview is with the student’s own attorney or with state officials acting in an official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student shall be represented by legal counsel during any interview that is conducted to obtain information that will be or may be used in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Depositions. </w:t>
      </w:r>
      <w:r>
        <w:rPr>
          <w:rFonts w:ascii="Times New Roman" w:hAnsi="Times New Roman"/>
          <w:b w:val="false"/>
          <w:i w:val="false"/>
          <w:color w:val="000000"/>
          <w:sz w:val="24"/>
        </w:rPr>
        <w:t>The superintendent may grant permission for written depositions according to the procedures for granting interviews. Voice recording of depositions will not be permitted. One copy of the deposition shall be submitted to the superintendent. This rule shall in no way restrict depositions ordered by the court.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441—103.5</w:t>
      </w:r>
      <w:r>
        <w:rPr>
          <w:rFonts w:ascii="Times New Roman" w:hAnsi="Times New Roman"/>
          <w:b/>
          <w:i w:val="false"/>
          <w:color w:val="000000"/>
          <w:sz w:val="24"/>
        </w:rPr>
        <w:t xml:space="preserve">(218) </w:t>
      </w:r>
      <w:r>
        <w:rPr>
          <w:rFonts w:ascii="Times New Roman" w:hAnsi="Times New Roman"/>
          <w:b/>
          <w:i w:val="false"/>
          <w:color w:val="000000"/>
          <w:sz w:val="24"/>
        </w:rPr>
        <w:t xml:space="preserve">Photographing and recording of students. </w:t>
      </w:r>
      <w:r>
        <w:rPr>
          <w:rFonts w:ascii="Times New Roman" w:hAnsi="Times New Roman"/>
          <w:b w:val="false"/>
          <w:i w:val="false"/>
          <w:color w:val="000000"/>
          <w:sz w:val="24"/>
        </w:rPr>
        <w:t>A student’s parent or legal representative may take photographs or make audio or video recordings of that student but shall not be authorized to take photographs or make recordings of any other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103.5(1)</w:t>
      </w:r>
      <w:r>
        <w:rPr>
          <w:rFonts w:ascii="Times New Roman" w:hAnsi="Times New Roman"/>
          <w:b w:val="false"/>
          <w:i w:val="false"/>
          <w:color w:val="000000"/>
          <w:sz w:val="24"/>
        </w:rPr>
        <w:t> </w:t>
      </w:r>
      <w:r>
        <w:rPr>
          <w:rFonts w:ascii="Times New Roman" w:hAnsi="Times New Roman"/>
          <w:b w:val="false"/>
          <w:i w:val="false"/>
          <w:color w:val="000000"/>
          <w:sz w:val="24"/>
        </w:rPr>
        <w:t>With the authorization of the superintendent or superintendent’s designee, a student may take a photograph of another student with that student’s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103.5(2)</w:t>
      </w:r>
      <w:r>
        <w:rPr>
          <w:rFonts w:ascii="Times New Roman" w:hAnsi="Times New Roman"/>
          <w:b w:val="false"/>
          <w:i w:val="false"/>
          <w:color w:val="000000"/>
          <w:sz w:val="24"/>
        </w:rPr>
        <w:t> </w:t>
      </w:r>
      <w:r>
        <w:rPr>
          <w:rFonts w:ascii="Times New Roman" w:hAnsi="Times New Roman"/>
          <w:b w:val="false"/>
          <w:i w:val="false"/>
          <w:color w:val="000000"/>
          <w:sz w:val="24"/>
        </w:rPr>
        <w:t>Use of still or video cameras or voice recorders to photograph or record a student by anyone other than the student, parent, legal representative, or authorized employee will be allowed only with the prior authorization of the superintendent or superintendent’s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granted, authorization to photograph or record will be for one specific use and will not extend to any other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Photographs and voice or video recordings of a student for public distribution will be permitted only with a signed informed consent from the superintendent and the individual’s parent or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and implement policies and procedures for authorizing or denying photographing or recording of students. A person authorized to take photographs or recordings of a student shall make every effort to preserve the inherent dignity of the student and to preclude exploitation or embarrassment of the student or the family of the student.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441—103.6</w:t>
      </w:r>
      <w:r>
        <w:rPr>
          <w:rFonts w:ascii="Times New Roman" w:hAnsi="Times New Roman"/>
          <w:b/>
          <w:i w:val="false"/>
          <w:color w:val="000000"/>
          <w:sz w:val="24"/>
        </w:rPr>
        <w:t xml:space="preserve">(218) </w:t>
      </w:r>
      <w:r>
        <w:rPr>
          <w:rFonts w:ascii="Times New Roman" w:hAnsi="Times New Roman"/>
          <w:b/>
          <w:i w:val="false"/>
          <w:color w:val="000000"/>
          <w:sz w:val="24"/>
        </w:rPr>
        <w:t xml:space="preserve">Employment of students. </w:t>
      </w:r>
      <w:r>
        <w:rPr>
          <w:rFonts w:ascii="Times New Roman" w:hAnsi="Times New Roman"/>
          <w:b w:val="false"/>
          <w:i w:val="false"/>
          <w:color w:val="000000"/>
          <w:sz w:val="24"/>
        </w:rPr>
        <w:t>The facility will maintain and implement policies and procedures for the employment of students to help ensure the employer’s compliance with all applicable state and federal laws. Employers that want to hire a student must obtain approval from the superintendent or superintendent’s designee. The employer, the superintendent or superintendent’s designee, or the student shall have the right to terminate the employment at any time.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441—103.7</w:t>
      </w:r>
      <w:r>
        <w:rPr>
          <w:rFonts w:ascii="Times New Roman" w:hAnsi="Times New Roman"/>
          <w:b/>
          <w:i w:val="false"/>
          <w:color w:val="000000"/>
          <w:sz w:val="24"/>
        </w:rPr>
        <w:t xml:space="preserve">(218) </w:t>
      </w:r>
      <w:r>
        <w:rPr>
          <w:rFonts w:ascii="Times New Roman" w:hAnsi="Times New Roman"/>
          <w:b/>
          <w:i w:val="false"/>
          <w:color w:val="000000"/>
          <w:sz w:val="24"/>
        </w:rPr>
        <w:t xml:space="preserve">Temporary home visits.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103.7(1)</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and implement policies and procedures for the granting or denial of temporary home visits.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103.7(2)</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and the student’s juvenile court officer shall approve a temporary home visit before the visit is scheduled and only after the juvenile court officer has investigated and approved in writing the temporary home visit placement.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441—103.8</w:t>
      </w:r>
      <w:r>
        <w:rPr>
          <w:rFonts w:ascii="Times New Roman" w:hAnsi="Times New Roman"/>
          <w:b/>
          <w:i w:val="false"/>
          <w:color w:val="000000"/>
          <w:sz w:val="24"/>
        </w:rPr>
        <w:t xml:space="preserve">(218) </w:t>
      </w:r>
      <w:r>
        <w:rPr>
          <w:rFonts w:ascii="Times New Roman" w:hAnsi="Times New Roman"/>
          <w:b/>
          <w:i w:val="false"/>
          <w:color w:val="000000"/>
          <w:sz w:val="24"/>
        </w:rPr>
        <w:t xml:space="preserve">Grievances. </w:t>
      </w:r>
      <w:r>
        <w:rPr>
          <w:rFonts w:ascii="Times New Roman" w:hAnsi="Times New Roman"/>
          <w:b w:val="false"/>
          <w:i w:val="false"/>
          <w:color w:val="000000"/>
          <w:sz w:val="24"/>
        </w:rPr>
        <w:t>Any student who believes the student’s rights have been violated by the facility or who has a complaint concerning the student’s treatment at the facility may file a grievance. The student’s parent, guardian, family, or legal representative may file a grievance on behalf of the student by submitting the grievance in writing to the superintendent. If the grievance directly concerns the superintendent, the grievance will be reviewed by the division director or the division director’s designee. At any time during the grievance process, students retain their right to contact their attorney, juvenile court officer, the Iowa office of ombudsman, the division director or the division director’s designee, regardless of the outcome determined by the facility or the superintendent.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441—103.9</w:t>
      </w:r>
      <w:r>
        <w:rPr>
          <w:rFonts w:ascii="Times New Roman" w:hAnsi="Times New Roman"/>
          <w:b/>
          <w:i w:val="false"/>
          <w:color w:val="000000"/>
          <w:sz w:val="24"/>
        </w:rPr>
        <w:t xml:space="preserve">(692A) </w:t>
      </w:r>
      <w:r>
        <w:rPr>
          <w:rFonts w:ascii="Times New Roman" w:hAnsi="Times New Roman"/>
          <w:b/>
          <w:i w:val="false"/>
          <w:color w:val="000000"/>
          <w:sz w:val="24"/>
        </w:rPr>
        <w:t xml:space="preserve">Sex offender registration. </w:t>
      </w:r>
      <w:r>
        <w:rPr>
          <w:rFonts w:ascii="Times New Roman" w:hAnsi="Times New Roman"/>
          <w:b w:val="false"/>
          <w:i w:val="false"/>
          <w:color w:val="000000"/>
          <w:sz w:val="24"/>
        </w:rPr>
        <w:t xml:space="preserve">A student who has been determined to be a sex offender as defined in Iowa Code section </w:t>
      </w:r>
      <w:hyperlink r:id="rId21">
        <w:r>
          <w:rPr>
            <w:rStyle w:val="Hyperlink"/>
            <w:rFonts w:ascii="Times New Roman" w:hAnsi="Times New Roman"/>
            <w:b w:val="false"/>
            <w:i w:val="false"/>
            <w:color w:val="000000"/>
            <w:sz w:val="24"/>
          </w:rPr>
          <w:t>692A.101(26)</w:t>
        </w:r>
      </w:hyperlink>
      <w:r>
        <w:rPr>
          <w:rFonts w:ascii="Times New Roman" w:hAnsi="Times New Roman"/>
          <w:b w:val="false"/>
          <w:i w:val="false"/>
          <w:color w:val="000000"/>
          <w:sz w:val="24"/>
        </w:rPr>
        <w:t xml:space="preserve"> must register as a sex offender before release from the facility unless the juvenile court finds that the student is exempted from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When a student who is a juvenile offender has not previously registered, the superintendent or superintendent’s designee will provide the student with Form DCI-144, Notification of Registration Requirement, as required by the department of public safety in </w:t>
      </w:r>
      <w:hyperlink r:id="rId22">
        <w:r>
          <w:rPr>
            <w:rStyle w:val="Hyperlink"/>
            <w:rFonts w:ascii="Times New Roman" w:hAnsi="Times New Roman"/>
            <w:b w:val="false"/>
            <w:i w:val="false"/>
            <w:color w:val="000000"/>
            <w:sz w:val="24"/>
          </w:rPr>
          <w:t>661—subrule 83.3(1)</w:t>
        </w:r>
      </w:hyperlink>
      <w:r>
        <w:rPr>
          <w:rFonts w:ascii="Times New Roman" w:hAnsi="Times New Roman"/>
          <w:b w:val="false"/>
          <w:i w:val="false"/>
          <w:color w:val="000000"/>
          <w:sz w:val="24"/>
        </w:rPr>
        <w:t>. Failure to provide a juvenile offender with the notification form does not relieve the juvenile offender of the duty to register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103.9(2)</w:t>
      </w:r>
      <w:r>
        <w:rPr>
          <w:rFonts w:ascii="Times New Roman" w:hAnsi="Times New Roman"/>
          <w:b w:val="false"/>
          <w:i w:val="false"/>
          <w:color w:val="000000"/>
          <w:sz w:val="24"/>
        </w:rPr>
        <w:t> </w:t>
      </w:r>
      <w:r>
        <w:rPr>
          <w:rFonts w:ascii="Times New Roman" w:hAnsi="Times New Roman"/>
          <w:b w:val="false"/>
          <w:i/>
          <w:color w:val="000000"/>
          <w:sz w:val="24"/>
        </w:rPr>
        <w:t xml:space="preserve">Exemption from registration. </w:t>
      </w:r>
      <w:r>
        <w:rPr>
          <w:rFonts w:ascii="Times New Roman" w:hAnsi="Times New Roman"/>
          <w:b w:val="false"/>
          <w:i w:val="false"/>
          <w:color w:val="000000"/>
          <w:sz w:val="24"/>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103.9(3)</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r>
        <w:rPr>
          <w:rFonts w:ascii="Times New Roman" w:hAnsi="Times New Roman"/>
          <w:b w:val="false"/>
          <w:i w:val="false"/>
          <w:color w:val="000000"/>
          <w:sz w:val="24"/>
        </w:rPr>
        <w:t xml:space="preserve">The superintendent or superintendent’s designee will provide the juvenile offender with Form DCI-145, Sex Offender Registration, as required by the department of public safety in </w:t>
      </w:r>
      <w:hyperlink r:id="rId23">
        <w:r>
          <w:rPr>
            <w:rStyle w:val="Hyperlink"/>
            <w:rFonts w:ascii="Times New Roman" w:hAnsi="Times New Roman"/>
            <w:b w:val="false"/>
            <w:i w:val="false"/>
            <w:color w:val="000000"/>
            <w:sz w:val="24"/>
          </w:rPr>
          <w:t>661—subrule 83.3(2)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juvenile offender is released from the facility, the superintendent or superintendent’s designee will submit the registration form to the division of criminal investigation of the department of public safety unless, by the time of release, the juvenile court finds that the juvenile should not be required to register as allowed by Iowa Code chapter </w:t>
      </w:r>
      <w:hyperlink r:id="rId24">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Copies of the sex offender registration will be maintained in the juvenile offender’s file at the facility.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692A.109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441—103.10</w:t>
      </w:r>
      <w:r>
        <w:rPr>
          <w:rFonts w:ascii="Times New Roman" w:hAnsi="Times New Roman"/>
          <w:b/>
          <w:i w:val="false"/>
          <w:color w:val="000000"/>
          <w:sz w:val="24"/>
        </w:rPr>
        <w:t xml:space="preserve">(218) </w:t>
      </w:r>
      <w:r>
        <w:rPr>
          <w:rFonts w:ascii="Times New Roman" w:hAnsi="Times New Roman"/>
          <w:b/>
          <w:i w:val="false"/>
          <w:color w:val="000000"/>
          <w:sz w:val="24"/>
        </w:rPr>
        <w:t xml:space="preserve">Alleged child abuse. </w:t>
      </w:r>
      <w:r>
        <w:rPr>
          <w:rFonts w:ascii="Times New Roman" w:hAnsi="Times New Roman"/>
          <w:b w:val="false"/>
          <w:i w:val="false"/>
          <w:color w:val="000000"/>
          <w:sz w:val="24"/>
        </w:rPr>
        <w:t>The department will arrange for the investigation of any reported case of alleged child abuse. For cases in which the alleged perpetrator is a facility employee, contractor, or volunteer, or some other department employee, the investigation shall be conducted by an agency other than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441—103.11</w:t>
      </w:r>
      <w:r>
        <w:rPr>
          <w:rFonts w:ascii="Times New Roman" w:hAnsi="Times New Roman"/>
          <w:b/>
          <w:i w:val="false"/>
          <w:color w:val="000000"/>
          <w:sz w:val="24"/>
        </w:rPr>
        <w:t xml:space="preserve">(233A) </w:t>
      </w:r>
      <w:r>
        <w:rPr>
          <w:rFonts w:ascii="Times New Roman" w:hAnsi="Times New Roman"/>
          <w:b/>
          <w:i w:val="false"/>
          <w:color w:val="000000"/>
          <w:sz w:val="24"/>
        </w:rPr>
        <w:t xml:space="preserve">Cost of care. </w:t>
      </w:r>
      <w:r>
        <w:rPr>
          <w:rFonts w:ascii="Times New Roman" w:hAnsi="Times New Roman"/>
          <w:b w:val="false"/>
          <w:i w:val="false"/>
          <w:color w:val="000000"/>
          <w:sz w:val="24"/>
        </w:rPr>
        <w:t xml:space="preserve">The facility will seek to recover a portion of the cost of care pursuant to Iowa Code section </w:t>
      </w:r>
      <w:hyperlink r:id="rId27">
        <w:r>
          <w:rPr>
            <w:rStyle w:val="Hyperlink"/>
            <w:rFonts w:ascii="Times New Roman" w:hAnsi="Times New Roman"/>
            <w:b w:val="false"/>
            <w:i w:val="false"/>
            <w:color w:val="000000"/>
            <w:sz w:val="24"/>
          </w:rPr>
          <w:t>233A.17</w:t>
        </w:r>
      </w:hyperlink>
      <w:r>
        <w:rPr>
          <w:rFonts w:ascii="Times New Roman" w:hAnsi="Times New Roman"/>
          <w:b w:val="false"/>
          <w:i w:val="false"/>
          <w:color w:val="000000"/>
          <w:sz w:val="24"/>
        </w:rPr>
        <w:t>. In determining the amount to be recovered: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103.11(1)</w:t>
      </w:r>
      <w:r>
        <w:rPr>
          <w:rFonts w:ascii="Times New Roman" w:hAnsi="Times New Roman"/>
          <w:b w:val="false"/>
          <w:i w:val="false"/>
          <w:color w:val="000000"/>
          <w:sz w:val="24"/>
        </w:rPr>
        <w:t> </w:t>
      </w:r>
      <w:r>
        <w:rPr>
          <w:rFonts w:ascii="Times New Roman" w:hAnsi="Times New Roman"/>
          <w:b w:val="false"/>
          <w:i w:val="false"/>
          <w:color w:val="000000"/>
          <w:sz w:val="24"/>
        </w:rPr>
        <w:t>The student will be allowed to retain a personal allowance equal to the personal allowance amount established by the Social Security Administration for the Supplemental Security Income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103.11(2)</w:t>
      </w:r>
      <w:r>
        <w:rPr>
          <w:rFonts w:ascii="Times New Roman" w:hAnsi="Times New Roman"/>
          <w:b w:val="false"/>
          <w:i w:val="false"/>
          <w:color w:val="000000"/>
          <w:sz w:val="24"/>
        </w:rPr>
        <w:t> </w:t>
      </w:r>
      <w:r>
        <w:rPr>
          <w:rFonts w:ascii="Times New Roman" w:hAnsi="Times New Roman"/>
          <w:b w:val="false"/>
          <w:i w:val="false"/>
          <w:color w:val="000000"/>
          <w:sz w:val="24"/>
        </w:rPr>
        <w:t>The amount recovered shall not exceed the actual cost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103.11(3)</w:t>
      </w:r>
      <w:r>
        <w:rPr>
          <w:rFonts w:ascii="Times New Roman" w:hAnsi="Times New Roman"/>
          <w:b w:val="false"/>
          <w:i w:val="false"/>
          <w:color w:val="000000"/>
          <w:sz w:val="24"/>
        </w:rPr>
        <w:t> </w:t>
      </w:r>
      <w:r>
        <w:rPr>
          <w:rFonts w:ascii="Times New Roman" w:hAnsi="Times New Roman"/>
          <w:b w:val="false"/>
          <w:i w:val="false"/>
          <w:color w:val="000000"/>
          <w:sz w:val="24"/>
        </w:rPr>
        <w:t>The cost of care will be determined using the average per diem multiplied by the total days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grant a one-time exception to recovery of up to $1,000 for a personal needs living expense if a student is being discharged and has no viable means of support upon release.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8">
        <w:r>
          <w:rPr>
            <w:rStyle w:val="Hyperlink"/>
            <w:rFonts w:ascii="Times New Roman" w:hAnsi="Times New Roman"/>
            <w:b w:val="false"/>
            <w:i w:val="false"/>
            <w:color w:val="000000"/>
            <w:sz w:val="24"/>
          </w:rPr>
          <w:t>233A.17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441—103.12</w:t>
      </w:r>
      <w:r>
        <w:rPr>
          <w:rFonts w:ascii="Times New Roman" w:hAnsi="Times New Roman"/>
          <w:b/>
          <w:i w:val="false"/>
          <w:color w:val="000000"/>
          <w:sz w:val="24"/>
        </w:rPr>
        <w:t xml:space="preserve">(218) </w:t>
      </w:r>
      <w:r>
        <w:rPr>
          <w:rFonts w:ascii="Times New Roman" w:hAnsi="Times New Roman"/>
          <w:b/>
          <w:i w:val="false"/>
          <w:color w:val="000000"/>
          <w:sz w:val="24"/>
        </w:rPr>
        <w:t xml:space="preserve">Buildings and grounds.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103.12(1)</w:t>
      </w:r>
      <w:r>
        <w:rPr>
          <w:rFonts w:ascii="Times New Roman" w:hAnsi="Times New Roman"/>
          <w:b w:val="false"/>
          <w:i w:val="false"/>
          <w:color w:val="000000"/>
          <w:sz w:val="24"/>
        </w:rPr>
        <w:t> </w:t>
      </w:r>
      <w:r>
        <w:rPr>
          <w:rFonts w:ascii="Times New Roman" w:hAnsi="Times New Roman"/>
          <w:b w:val="false"/>
          <w:i/>
          <w:color w:val="000000"/>
          <w:sz w:val="24"/>
        </w:rPr>
        <w:t xml:space="preserve">Tours. </w:t>
      </w:r>
      <w:r>
        <w:rPr>
          <w:rFonts w:ascii="Times New Roman" w:hAnsi="Times New Roman"/>
          <w:b w:val="false"/>
          <w:i w:val="false"/>
          <w:color w:val="000000"/>
          <w:sz w:val="24"/>
        </w:rPr>
        <w:t>Tours of the facility will be subject to the prior approval of the superintendent or superintendent’s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103.12(2)</w:t>
      </w:r>
      <w:r>
        <w:rPr>
          <w:rFonts w:ascii="Times New Roman" w:hAnsi="Times New Roman"/>
          <w:b w:val="false"/>
          <w:i w:val="false"/>
          <w:color w:val="000000"/>
          <w:sz w:val="24"/>
        </w:rPr>
        <w:t> </w:t>
      </w:r>
      <w:r>
        <w:rPr>
          <w:rFonts w:ascii="Times New Roman" w:hAnsi="Times New Roman"/>
          <w:b w:val="false"/>
          <w:i/>
          <w:color w:val="000000"/>
          <w:sz w:val="24"/>
        </w:rPr>
        <w:t xml:space="preserve">Public use. </w:t>
      </w:r>
      <w:r>
        <w:rPr>
          <w:rFonts w:ascii="Times New Roman" w:hAnsi="Times New Roman"/>
          <w:b w:val="false"/>
          <w:i w:val="false"/>
          <w:color w:val="000000"/>
          <w:sz w:val="24"/>
        </w:rPr>
        <w:t xml:space="preserve">Facility space is for the primary use of the facility. All public use of facility space shall require prior approval of the superintendent or superintendent’s designee. Approval for use will be based on the order of requests received and on space availability after the programmatic and security needs of the facility are met.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441—103.13</w:t>
      </w:r>
      <w:r>
        <w:rPr>
          <w:rFonts w:ascii="Times New Roman" w:hAnsi="Times New Roman"/>
          <w:b/>
          <w:i w:val="false"/>
          <w:color w:val="000000"/>
          <w:sz w:val="24"/>
        </w:rPr>
        <w:t xml:space="preserve">(8,218) </w:t>
      </w:r>
      <w:r>
        <w:rPr>
          <w:rFonts w:ascii="Times New Roman" w:hAnsi="Times New Roman"/>
          <w:b/>
          <w:i w:val="false"/>
          <w:color w:val="000000"/>
          <w:sz w:val="24"/>
        </w:rPr>
        <w:t xml:space="preserve">Gifts and bequests. </w:t>
      </w:r>
      <w:r>
        <w:rPr>
          <w:rFonts w:ascii="Times New Roman" w:hAnsi="Times New Roman"/>
          <w:b w:val="false"/>
          <w:i w:val="false"/>
          <w:color w:val="000000"/>
          <w:sz w:val="24"/>
        </w:rPr>
        <w:t>Gifts or bequests of money, clothing, books, games, recreational equipment or other items shall be made directly to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103.13(1)</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will evaluate the gift or bequest in terms of the nature of the contribution to the facility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will be responsible for accepting the gift or bequest and reporting it to the division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monetary gifts or bequests will be acknowledged in writing to the donor.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gifts or bequests with a value of $50 or more shall be reported to the Iowa ethics and campaign disclosure board within 20 days of receipt of the gift or bequest using the board’s Form-GB.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0">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692A.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3A.1.pdf" Type="http://schemas.openxmlformats.org/officeDocument/2006/relationships/hyperlink" Id="rId8"/>
    <Relationship TargetMode="External" Target="https://www.legis.iowa.gov/docs/ico/chapter/232.53.pdf" Type="http://schemas.openxmlformats.org/officeDocument/2006/relationships/hyperlink" Id="rId9"/>
    <Relationship TargetMode="External" Target="https://www.legis.iowa.gov/docs/ico/chapter/232.53.pdf" Type="http://schemas.openxmlformats.org/officeDocument/2006/relationships/hyperlink" Id="rId10"/>
    <Relationship TargetMode="External" Target="https://www.legis.iowa.gov/docs/ico/chapter/233A.1.pdf" Type="http://schemas.openxmlformats.org/officeDocument/2006/relationships/hyperlink" Id="rId11"/>
    <Relationship TargetMode="External" Target="https://www.legis.iowa.gov/docs/ico/chapter/218.4.pdf" Type="http://schemas.openxmlformats.org/officeDocument/2006/relationships/hyperlink" Id="rId12"/>
    <Relationship TargetMode="External" Target="https://www.legis.iowa.gov/docs/ico/chapter/232.pdf" Type="http://schemas.openxmlformats.org/officeDocument/2006/relationships/hyperlink" Id="rId13"/>
    <Relationship TargetMode="External" Target="https://www.legis.iowa.gov/docs/ico/chapter/218.4.pdf" Type="http://schemas.openxmlformats.org/officeDocument/2006/relationships/hyperlink" Id="rId14"/>
    <Relationship TargetMode="External" Target="https://www.legis.iowa.gov/docs/ico/chapter/218.4.pdf" Type="http://schemas.openxmlformats.org/officeDocument/2006/relationships/hyperlink" Id="rId15"/>
    <Relationship TargetMode="External" Target="https://www.legis.iowa.gov/docs/ico/chapter/218.4.pdf" Type="http://schemas.openxmlformats.org/officeDocument/2006/relationships/hyperlink" Id="rId16"/>
    <Relationship TargetMode="External" Target="https://www.legis.iowa.gov/docs/ico/chapter/218.4.pdf" Type="http://schemas.openxmlformats.org/officeDocument/2006/relationships/hyperlink" Id="rId17"/>
    <Relationship TargetMode="External" Target="https://www.legis.iowa.gov/docs/ico/chapter/218.4.pdf" Type="http://schemas.openxmlformats.org/officeDocument/2006/relationships/hyperlink" Id="rId18"/>
    <Relationship TargetMode="External" Target="https://www.legis.iowa.gov/docs/ico/chapter/218.4.pdf" Type="http://schemas.openxmlformats.org/officeDocument/2006/relationships/hyperlink" Id="rId19"/>
    <Relationship TargetMode="External" Target="https://www.legis.iowa.gov/docs/ico/chapter/218.4.pdf" Type="http://schemas.openxmlformats.org/officeDocument/2006/relationships/hyperlink" Id="rId20"/>
    <Relationship TargetMode="External" Target="https://www.legis.iowa.gov/docs/ico/chapter/692A.101.pdf" Type="http://schemas.openxmlformats.org/officeDocument/2006/relationships/hyperlink" Id="rId21"/>
    <Relationship TargetMode="External" Target="https://www.legis.iowa.gov/docs/iac/rule/661.83.3.pdf" Type="http://schemas.openxmlformats.org/officeDocument/2006/relationships/hyperlink" Id="rId22"/>
    <Relationship TargetMode="External" Target="https://www.legis.iowa.gov/docs/iac/rule/661.83.3.pdf" Type="http://schemas.openxmlformats.org/officeDocument/2006/relationships/hyperlink" Id="rId23"/>
    <Relationship TargetMode="External" Target="https://www.legis.iowa.gov/docs/ico/chapter/692A.pdf" Type="http://schemas.openxmlformats.org/officeDocument/2006/relationships/hyperlink" Id="rId24"/>
    <Relationship TargetMode="External" Target="https://www.legis.iowa.gov/docs/ico/chapter/692A.109.pdf" Type="http://schemas.openxmlformats.org/officeDocument/2006/relationships/hyperlink" Id="rId25"/>
    <Relationship TargetMode="External" Target="https://www.legis.iowa.gov/docs/ico/chapter/218.4.pdf" Type="http://schemas.openxmlformats.org/officeDocument/2006/relationships/hyperlink" Id="rId26"/>
    <Relationship TargetMode="External" Target="https://www.legis.iowa.gov/docs/ico/chapter/233A.17.pdf" Type="http://schemas.openxmlformats.org/officeDocument/2006/relationships/hyperlink" Id="rId27"/>
    <Relationship TargetMode="External" Target="https://www.legis.iowa.gov/docs/ico/chapter/233A.17.pdf" Type="http://schemas.openxmlformats.org/officeDocument/2006/relationships/hyperlink" Id="rId28"/>
    <Relationship TargetMode="External" Target="https://www.legis.iowa.gov/docs/ico/chapter/218.4.pdf" Type="http://schemas.openxmlformats.org/officeDocument/2006/relationships/hyperlink" Id="rId29"/>
    <Relationship TargetMode="External" Target="https://www.legis.iowa.gov/docs/ico/chapter/8.7.pdf" Type="http://schemas.openxmlformats.org/officeDocument/2006/relationships/hyperlink" Id="rId30"/>
    <Relationship TargetMode="External" Target="https://www.legis.iowa.gov/docs/ico/chapter/218.4.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